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414" w:rsidRPr="00040971" w:rsidRDefault="00AB2414" w:rsidP="00181D92">
      <w:pPr>
        <w:spacing w:beforeLines="50" w:before="120" w:afterLines="50" w:after="120"/>
        <w:jc w:val="center"/>
        <w:outlineLvl w:val="0"/>
        <w:rPr>
          <w:rFonts w:ascii="方正小标宋简体" w:eastAsia="方正小标宋简体" w:hAnsiTheme="minorEastAsia" w:cs="仿宋_GB2312"/>
          <w:color w:val="000000"/>
          <w:kern w:val="0"/>
          <w:sz w:val="36"/>
          <w:szCs w:val="36"/>
        </w:rPr>
      </w:pPr>
      <w:bookmarkStart w:id="0" w:name="_Toc500512339"/>
      <w:bookmarkStart w:id="1" w:name="_GoBack"/>
      <w:bookmarkEnd w:id="1"/>
      <w:r w:rsidRPr="00040971">
        <w:rPr>
          <w:rFonts w:ascii="方正小标宋简体" w:eastAsia="方正小标宋简体" w:hAnsiTheme="minorEastAsia" w:cs="仿宋_GB2312" w:hint="eastAsia"/>
          <w:color w:val="000000"/>
          <w:kern w:val="0"/>
          <w:sz w:val="36"/>
          <w:szCs w:val="36"/>
        </w:rPr>
        <w:t>关于普通高等学校本科教学评估工作的意见</w:t>
      </w:r>
      <w:bookmarkEnd w:id="0"/>
    </w:p>
    <w:p w:rsidR="00AB2414" w:rsidRDefault="00AB2414" w:rsidP="00B45965">
      <w:pPr>
        <w:jc w:val="center"/>
        <w:rPr>
          <w:rFonts w:asciiTheme="minorEastAsia" w:hAnsiTheme="minorEastAsia" w:cs="仿宋_GB2312"/>
          <w:b/>
          <w:color w:val="000000"/>
          <w:kern w:val="0"/>
          <w:sz w:val="24"/>
          <w:szCs w:val="24"/>
        </w:rPr>
      </w:pPr>
      <w:r w:rsidRPr="00040971">
        <w:rPr>
          <w:rFonts w:asciiTheme="minorEastAsia" w:hAnsiTheme="minorEastAsia" w:cs="仿宋_GB2312" w:hint="eastAsia"/>
          <w:b/>
          <w:color w:val="000000"/>
          <w:kern w:val="0"/>
          <w:sz w:val="24"/>
          <w:szCs w:val="24"/>
        </w:rPr>
        <w:t>（</w:t>
      </w:r>
      <w:proofErr w:type="gramStart"/>
      <w:r w:rsidRPr="00040971">
        <w:rPr>
          <w:rFonts w:asciiTheme="minorEastAsia" w:hAnsiTheme="minorEastAsia" w:cs="仿宋_GB2312" w:hint="eastAsia"/>
          <w:b/>
          <w:color w:val="000000"/>
          <w:kern w:val="0"/>
          <w:sz w:val="24"/>
          <w:szCs w:val="24"/>
        </w:rPr>
        <w:t>教高〔</w:t>
      </w:r>
      <w:r w:rsidRPr="00040971">
        <w:rPr>
          <w:rFonts w:asciiTheme="minorEastAsia" w:hAnsiTheme="minorEastAsia" w:cs="仿宋_GB2312"/>
          <w:b/>
          <w:color w:val="000000"/>
          <w:kern w:val="0"/>
          <w:sz w:val="24"/>
          <w:szCs w:val="24"/>
        </w:rPr>
        <w:t>2011</w:t>
      </w:r>
      <w:r w:rsidRPr="00040971">
        <w:rPr>
          <w:rFonts w:asciiTheme="minorEastAsia" w:hAnsiTheme="minorEastAsia" w:cs="仿宋_GB2312" w:hint="eastAsia"/>
          <w:b/>
          <w:color w:val="000000"/>
          <w:kern w:val="0"/>
          <w:sz w:val="24"/>
          <w:szCs w:val="24"/>
        </w:rPr>
        <w:t>〕</w:t>
      </w:r>
      <w:proofErr w:type="gramEnd"/>
      <w:r w:rsidRPr="00040971">
        <w:rPr>
          <w:rFonts w:asciiTheme="minorEastAsia" w:hAnsiTheme="minorEastAsia" w:cs="仿宋_GB2312"/>
          <w:b/>
          <w:color w:val="000000"/>
          <w:kern w:val="0"/>
          <w:sz w:val="24"/>
          <w:szCs w:val="24"/>
        </w:rPr>
        <w:t xml:space="preserve">9 </w:t>
      </w:r>
      <w:r w:rsidRPr="00040971">
        <w:rPr>
          <w:rFonts w:asciiTheme="minorEastAsia" w:hAnsiTheme="minorEastAsia" w:cs="仿宋_GB2312" w:hint="eastAsia"/>
          <w:b/>
          <w:color w:val="000000"/>
          <w:kern w:val="0"/>
          <w:sz w:val="24"/>
          <w:szCs w:val="24"/>
        </w:rPr>
        <w:t>号）</w:t>
      </w:r>
    </w:p>
    <w:p w:rsidR="002200CF" w:rsidRDefault="002200CF" w:rsidP="002200CF">
      <w:pPr>
        <w:jc w:val="center"/>
        <w:rPr>
          <w:rFonts w:asciiTheme="minorEastAsia" w:hAnsiTheme="minorEastAsia" w:cs="仿宋_GB2312"/>
          <w:color w:val="000000"/>
          <w:kern w:val="0"/>
          <w:sz w:val="24"/>
          <w:szCs w:val="24"/>
        </w:rPr>
      </w:pPr>
    </w:p>
    <w:p w:rsidR="00AB2414" w:rsidRDefault="00AB2414" w:rsidP="001E0C9A">
      <w:pPr>
        <w:spacing w:line="480" w:lineRule="exact"/>
        <w:rPr>
          <w:rFonts w:asciiTheme="minorEastAsia" w:hAnsiTheme="minorEastAsia" w:cs="仿宋_GB2312"/>
          <w:color w:val="000000"/>
          <w:kern w:val="0"/>
          <w:sz w:val="24"/>
          <w:szCs w:val="24"/>
        </w:rPr>
      </w:pPr>
      <w:r w:rsidRPr="00FC1826">
        <w:rPr>
          <w:rFonts w:asciiTheme="minorEastAsia" w:hAnsiTheme="minorEastAsia" w:cs="仿宋_GB2312" w:hint="eastAsia"/>
          <w:color w:val="000000"/>
          <w:kern w:val="0"/>
          <w:sz w:val="24"/>
          <w:szCs w:val="24"/>
        </w:rPr>
        <w:t>各省、自治区、直辖市教育厅（教委），新疆生产建设兵团教育局，有关部门（单位）教育司（局），部属各高等学校：</w:t>
      </w:r>
    </w:p>
    <w:p w:rsidR="00AB2414" w:rsidRDefault="00AB2414" w:rsidP="001E0C9A">
      <w:pPr>
        <w:spacing w:line="48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hint="eastAsia"/>
          <w:color w:val="000000"/>
          <w:kern w:val="0"/>
          <w:sz w:val="24"/>
          <w:szCs w:val="24"/>
        </w:rPr>
        <w:t>为落实《国家中长期教育改革和发展规划纲要（</w:t>
      </w:r>
      <w:r w:rsidRPr="00FC1826">
        <w:rPr>
          <w:rFonts w:asciiTheme="minorEastAsia" w:hAnsiTheme="minorEastAsia" w:cs="仿宋_GB2312"/>
          <w:color w:val="000000"/>
          <w:kern w:val="0"/>
          <w:sz w:val="24"/>
          <w:szCs w:val="24"/>
        </w:rPr>
        <w:t>2010</w:t>
      </w:r>
      <w:r w:rsidRPr="00FC1826">
        <w:rPr>
          <w:rFonts w:asciiTheme="minorEastAsia" w:hAnsiTheme="minorEastAsia" w:cs="仿宋_GB2312" w:hint="eastAsia"/>
          <w:color w:val="000000"/>
          <w:kern w:val="0"/>
          <w:sz w:val="24"/>
          <w:szCs w:val="24"/>
        </w:rPr>
        <w:t>—</w:t>
      </w:r>
      <w:r w:rsidRPr="00FC1826">
        <w:rPr>
          <w:rFonts w:asciiTheme="minorEastAsia" w:hAnsiTheme="minorEastAsia" w:cs="仿宋_GB2312"/>
          <w:color w:val="000000"/>
          <w:kern w:val="0"/>
          <w:sz w:val="24"/>
          <w:szCs w:val="24"/>
        </w:rPr>
        <w:t xml:space="preserve">2020 </w:t>
      </w:r>
      <w:r w:rsidRPr="00FC1826">
        <w:rPr>
          <w:rFonts w:asciiTheme="minorEastAsia" w:hAnsiTheme="minorEastAsia" w:cs="仿宋_GB2312" w:hint="eastAsia"/>
          <w:color w:val="000000"/>
          <w:kern w:val="0"/>
          <w:sz w:val="24"/>
          <w:szCs w:val="24"/>
        </w:rPr>
        <w:t>年）》，切实推进高等教育质量保障体系建设，全面提高本科教学水平和人才培养质量，现就普通高等学校本科教学评估工作提出如下意见：</w:t>
      </w:r>
    </w:p>
    <w:p w:rsidR="00AB2414" w:rsidRPr="00AB2414" w:rsidRDefault="00AB2414" w:rsidP="001E0C9A">
      <w:pPr>
        <w:spacing w:line="480" w:lineRule="exact"/>
        <w:ind w:firstLineChars="200" w:firstLine="482"/>
        <w:rPr>
          <w:rFonts w:asciiTheme="minorEastAsia" w:hAnsiTheme="minorEastAsia" w:cs="仿宋_GB2312"/>
          <w:b/>
          <w:color w:val="000000"/>
          <w:kern w:val="0"/>
          <w:sz w:val="24"/>
          <w:szCs w:val="24"/>
        </w:rPr>
      </w:pPr>
      <w:r w:rsidRPr="00AB2414">
        <w:rPr>
          <w:rFonts w:asciiTheme="minorEastAsia" w:hAnsiTheme="minorEastAsia" w:cs="仿宋_GB2312" w:hint="eastAsia"/>
          <w:b/>
          <w:color w:val="000000"/>
          <w:kern w:val="0"/>
          <w:sz w:val="24"/>
          <w:szCs w:val="24"/>
        </w:rPr>
        <w:t>一、本科教学评估的意义目的</w:t>
      </w:r>
    </w:p>
    <w:p w:rsidR="00AB2414" w:rsidRDefault="00AB2414" w:rsidP="001E0C9A">
      <w:pPr>
        <w:spacing w:line="48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color w:val="000000"/>
          <w:kern w:val="0"/>
          <w:sz w:val="24"/>
          <w:szCs w:val="24"/>
        </w:rPr>
        <w:t>1.</w:t>
      </w:r>
      <w:r w:rsidRPr="00FC1826">
        <w:rPr>
          <w:rFonts w:asciiTheme="minorEastAsia" w:hAnsiTheme="minorEastAsia" w:cs="仿宋_GB2312" w:hint="eastAsia"/>
          <w:color w:val="000000"/>
          <w:kern w:val="0"/>
          <w:sz w:val="24"/>
          <w:szCs w:val="24"/>
        </w:rPr>
        <w:t>人才培养是高等学校的根本任务。提高人才培养质量的重点是提高教学质量。教学评估是评价、监督、保障和提高教学质量的重要举措，是我国高等教育质量保障体系的重要组成部分。</w:t>
      </w:r>
    </w:p>
    <w:p w:rsidR="00AB2414" w:rsidRDefault="00AB2414" w:rsidP="001E0C9A">
      <w:pPr>
        <w:spacing w:line="48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color w:val="000000"/>
          <w:kern w:val="0"/>
          <w:sz w:val="24"/>
          <w:szCs w:val="24"/>
        </w:rPr>
        <w:t>2.</w:t>
      </w:r>
      <w:r w:rsidRPr="00FC1826">
        <w:rPr>
          <w:rFonts w:asciiTheme="minorEastAsia" w:hAnsiTheme="minorEastAsia" w:cs="仿宋_GB2312" w:hint="eastAsia"/>
          <w:color w:val="000000"/>
          <w:kern w:val="0"/>
          <w:sz w:val="24"/>
          <w:szCs w:val="24"/>
        </w:rPr>
        <w:t>开展教学评估的目的是促进高等学校全面贯彻党的教育方针，推进教学改革，提高人才培养质量，增强本科教学主动服务经济社会发展需要和人的全面发展需求的能力；促进政府对高等学校实施宏观管理和分类指导，引导高等学校合理定位、办出水平、办出特色；促进社会参与高等学校人才培养和评价、监督高等学校本科教学质量。</w:t>
      </w:r>
    </w:p>
    <w:p w:rsidR="00AB2414" w:rsidRPr="00AB2414" w:rsidRDefault="00AB2414" w:rsidP="001E0C9A">
      <w:pPr>
        <w:spacing w:line="480" w:lineRule="exact"/>
        <w:ind w:firstLineChars="200" w:firstLine="482"/>
        <w:rPr>
          <w:rFonts w:asciiTheme="minorEastAsia" w:hAnsiTheme="minorEastAsia" w:cs="仿宋_GB2312"/>
          <w:b/>
          <w:color w:val="000000"/>
          <w:kern w:val="0"/>
          <w:sz w:val="24"/>
          <w:szCs w:val="24"/>
        </w:rPr>
      </w:pPr>
      <w:r w:rsidRPr="00AB2414">
        <w:rPr>
          <w:rFonts w:asciiTheme="minorEastAsia" w:hAnsiTheme="minorEastAsia" w:cs="仿宋_GB2312" w:hint="eastAsia"/>
          <w:b/>
          <w:color w:val="000000"/>
          <w:kern w:val="0"/>
          <w:sz w:val="24"/>
          <w:szCs w:val="24"/>
        </w:rPr>
        <w:t>二、本科教学评估的制度体系</w:t>
      </w:r>
    </w:p>
    <w:p w:rsidR="00AB2414" w:rsidRDefault="00AB2414" w:rsidP="001E0C9A">
      <w:pPr>
        <w:spacing w:line="48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color w:val="000000"/>
          <w:kern w:val="0"/>
          <w:sz w:val="24"/>
          <w:szCs w:val="24"/>
        </w:rPr>
        <w:t>3.</w:t>
      </w:r>
      <w:r w:rsidRPr="00FC1826">
        <w:rPr>
          <w:rFonts w:asciiTheme="minorEastAsia" w:hAnsiTheme="minorEastAsia" w:cs="仿宋_GB2312" w:hint="eastAsia"/>
          <w:color w:val="000000"/>
          <w:kern w:val="0"/>
          <w:sz w:val="24"/>
          <w:szCs w:val="24"/>
        </w:rPr>
        <w:t>建立健全以学校自我评估为基础，以院校评估、专业认证及评估、国际评估和教学基本状态数据常态监测为主要内容，政府、学校、专门机构和社会多元评价相结合，与中国特色现代高等教育体系相适应的教学评估制度。</w:t>
      </w:r>
    </w:p>
    <w:p w:rsidR="00AB2414" w:rsidRDefault="00AB2414" w:rsidP="001E0C9A">
      <w:pPr>
        <w:spacing w:line="48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color w:val="000000"/>
          <w:kern w:val="0"/>
          <w:sz w:val="24"/>
          <w:szCs w:val="24"/>
        </w:rPr>
        <w:t>4.</w:t>
      </w:r>
      <w:r w:rsidRPr="00FC1826">
        <w:rPr>
          <w:rFonts w:asciiTheme="minorEastAsia" w:hAnsiTheme="minorEastAsia" w:cs="仿宋_GB2312" w:hint="eastAsia"/>
          <w:color w:val="000000"/>
          <w:kern w:val="0"/>
          <w:sz w:val="24"/>
          <w:szCs w:val="24"/>
        </w:rPr>
        <w:t>强化高等学校质量保障的主体意识，完善校内自我评估制度，建立健全校内质量保障体系；国家对高等学校实行分类的院校评估，促进高等学校办出特色；鼓励开展行业用人部门深度参与的专业认证及评估，增强人才培养与社会需求的适应性；充分利用信息技术，建设高等学校教学基本状态数据库，实现本科教学质量常态化监控；借鉴国际评估的先进理念和经验，加强国际合作与交流，鼓励在相关领域开展国际评估，提高本科人才培养质量和评估工作水平；按照中央和省级政府两级分工负责以及“管办评分离”的原则，形成科学合理、运行有效的评估工作组织体系。</w:t>
      </w:r>
    </w:p>
    <w:p w:rsidR="00AB2414" w:rsidRPr="00AB2414" w:rsidRDefault="00AB2414" w:rsidP="001E0C9A">
      <w:pPr>
        <w:spacing w:line="480" w:lineRule="exact"/>
        <w:ind w:firstLineChars="200" w:firstLine="482"/>
        <w:rPr>
          <w:rFonts w:asciiTheme="minorEastAsia" w:hAnsiTheme="minorEastAsia" w:cs="仿宋_GB2312"/>
          <w:b/>
          <w:color w:val="000000"/>
          <w:kern w:val="0"/>
          <w:sz w:val="24"/>
          <w:szCs w:val="24"/>
        </w:rPr>
      </w:pPr>
      <w:r w:rsidRPr="00AB2414">
        <w:rPr>
          <w:rFonts w:asciiTheme="minorEastAsia" w:hAnsiTheme="minorEastAsia" w:cs="仿宋_GB2312" w:hint="eastAsia"/>
          <w:b/>
          <w:color w:val="000000"/>
          <w:kern w:val="0"/>
          <w:sz w:val="24"/>
          <w:szCs w:val="24"/>
        </w:rPr>
        <w:t>三、本科教学评估的主要内容与基本形式</w:t>
      </w:r>
    </w:p>
    <w:p w:rsidR="00AB2414" w:rsidRDefault="00AB2414" w:rsidP="001E0C9A">
      <w:pPr>
        <w:spacing w:line="48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color w:val="000000"/>
          <w:kern w:val="0"/>
          <w:sz w:val="24"/>
          <w:szCs w:val="24"/>
        </w:rPr>
        <w:lastRenderedPageBreak/>
        <w:t>5.</w:t>
      </w:r>
      <w:r w:rsidRPr="00FC1826">
        <w:rPr>
          <w:rFonts w:asciiTheme="minorEastAsia" w:hAnsiTheme="minorEastAsia" w:cs="仿宋_GB2312" w:hint="eastAsia"/>
          <w:color w:val="000000"/>
          <w:kern w:val="0"/>
          <w:sz w:val="24"/>
          <w:szCs w:val="24"/>
        </w:rPr>
        <w:t>教学基本状态数据常态监测。高等学校要充分利用信息技术，采集反映教学状态的基本数据，建立高等学校本科教学基本状态数据库。高等学校对数据库数据要及时更新，及时分析本科教学状况，建立本科教学工作及其质量常态监控机制，对社会关注的核心教学数据须在一定范围内向社会发布。国家建立全国高等学校本科教学基本状态数据库，充分发挥状态数据在政府监控高等教育质量、社会监督高等学校人才培养和本科教学评估工作中的重要作用。</w:t>
      </w:r>
    </w:p>
    <w:p w:rsidR="00AB2414" w:rsidRDefault="00AB2414" w:rsidP="001E0C9A">
      <w:pPr>
        <w:spacing w:line="48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color w:val="000000"/>
          <w:kern w:val="0"/>
          <w:sz w:val="24"/>
          <w:szCs w:val="24"/>
        </w:rPr>
        <w:t>6.</w:t>
      </w:r>
      <w:r w:rsidRPr="00FC1826">
        <w:rPr>
          <w:rFonts w:asciiTheme="minorEastAsia" w:hAnsiTheme="minorEastAsia" w:cs="仿宋_GB2312" w:hint="eastAsia"/>
          <w:color w:val="000000"/>
          <w:kern w:val="0"/>
          <w:sz w:val="24"/>
          <w:szCs w:val="24"/>
        </w:rPr>
        <w:t>学校自我评估。高等学校应建立本科教学自我评估制度，根据学校确定的人才培养目标，围绕教学条件、教学过程、教学效果进行评估，包括院系评估、学科专业评估、课程评估等多项内容。应特别注重教师和学生对教学工作的评价，注重学生学习效果和教学资源使用效率的评价，注重用人单位对人才培养质量的评价。要建立有效的校内教学质量监测和调控机制，建立健全学校本科教学质量保障体系。学校在自我评估基础上形成本科教学年度质量报告，在适当范围发布并报相关教育行政（主管）部门。学校年度质量报告作为国家和有关专门机构开展院校评估和专业评估的重要参考。</w:t>
      </w:r>
    </w:p>
    <w:p w:rsidR="00AB2414" w:rsidRDefault="00AB2414" w:rsidP="001E0C9A">
      <w:pPr>
        <w:spacing w:line="48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color w:val="000000"/>
          <w:kern w:val="0"/>
          <w:sz w:val="24"/>
          <w:szCs w:val="24"/>
        </w:rPr>
        <w:t>7.</w:t>
      </w:r>
      <w:r w:rsidRPr="00FC1826">
        <w:rPr>
          <w:rFonts w:asciiTheme="minorEastAsia" w:hAnsiTheme="minorEastAsia" w:cs="仿宋_GB2312" w:hint="eastAsia"/>
          <w:color w:val="000000"/>
          <w:kern w:val="0"/>
          <w:sz w:val="24"/>
          <w:szCs w:val="24"/>
        </w:rPr>
        <w:t>实现分类的院校评估。院校评估包括合格评估和审核评估。合格评估的对象是</w:t>
      </w:r>
      <w:r w:rsidRPr="00FC1826">
        <w:rPr>
          <w:rFonts w:asciiTheme="minorEastAsia" w:hAnsiTheme="minorEastAsia" w:cs="仿宋_GB2312"/>
          <w:color w:val="000000"/>
          <w:kern w:val="0"/>
          <w:sz w:val="24"/>
          <w:szCs w:val="24"/>
        </w:rPr>
        <w:t xml:space="preserve">2000 </w:t>
      </w:r>
      <w:r w:rsidRPr="00FC1826">
        <w:rPr>
          <w:rFonts w:asciiTheme="minorEastAsia" w:hAnsiTheme="minorEastAsia" w:cs="仿宋_GB2312" w:hint="eastAsia"/>
          <w:color w:val="000000"/>
          <w:kern w:val="0"/>
          <w:sz w:val="24"/>
          <w:szCs w:val="24"/>
        </w:rPr>
        <w:t>年以来未参加过院校评估的新建本科学校；审核评估的对象是参加过院校评估并获得通过的普通本科学校。</w:t>
      </w:r>
    </w:p>
    <w:p w:rsidR="00AB2414" w:rsidRDefault="00AB2414" w:rsidP="001E0C9A">
      <w:pPr>
        <w:spacing w:line="48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hint="eastAsia"/>
          <w:color w:val="000000"/>
          <w:kern w:val="0"/>
          <w:sz w:val="24"/>
          <w:szCs w:val="24"/>
        </w:rPr>
        <w:t>合格评估的重点是考察学校基本办学条件、基本教学管理和基本教学质量，学校服务地方经济社会发展的能力和应用型人才培养的能力，学校教学改革和内部质量保障体系建设和运行的情况。评估结论分为“通过”、“暂缓通过”和“不通过”三种。“通过”的学校</w:t>
      </w:r>
      <w:r w:rsidRPr="00FC1826">
        <w:rPr>
          <w:rFonts w:asciiTheme="minorEastAsia" w:hAnsiTheme="minorEastAsia" w:cs="仿宋_GB2312"/>
          <w:color w:val="000000"/>
          <w:kern w:val="0"/>
          <w:sz w:val="24"/>
          <w:szCs w:val="24"/>
        </w:rPr>
        <w:t>5</w:t>
      </w:r>
      <w:r w:rsidRPr="00FC1826">
        <w:rPr>
          <w:rFonts w:asciiTheme="minorEastAsia" w:hAnsiTheme="minorEastAsia" w:cs="仿宋_GB2312" w:hint="eastAsia"/>
          <w:color w:val="000000"/>
          <w:kern w:val="0"/>
          <w:sz w:val="24"/>
          <w:szCs w:val="24"/>
        </w:rPr>
        <w:t>年后进入审核评估。</w:t>
      </w:r>
    </w:p>
    <w:p w:rsidR="00AB2414" w:rsidRDefault="00AB2414" w:rsidP="001E0C9A">
      <w:pPr>
        <w:spacing w:line="48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hint="eastAsia"/>
          <w:color w:val="000000"/>
          <w:kern w:val="0"/>
          <w:sz w:val="24"/>
          <w:szCs w:val="24"/>
        </w:rPr>
        <w:t>审核评估重点考察学校办学条件、本科教学质量与办学定位、人才培养目标的符合程度，学校内部质量保障体系建设及运行状况，学校深化本科教学改革的措施及成效。审核评估形成写实性报告，不分等级，周期为</w:t>
      </w:r>
      <w:r w:rsidRPr="00FC1826">
        <w:rPr>
          <w:rFonts w:asciiTheme="minorEastAsia" w:hAnsiTheme="minorEastAsia" w:cs="仿宋_GB2312"/>
          <w:color w:val="000000"/>
          <w:kern w:val="0"/>
          <w:sz w:val="24"/>
          <w:szCs w:val="24"/>
        </w:rPr>
        <w:t>5</w:t>
      </w:r>
      <w:r w:rsidRPr="00FC1826">
        <w:rPr>
          <w:rFonts w:asciiTheme="minorEastAsia" w:hAnsiTheme="minorEastAsia" w:cs="仿宋_GB2312" w:hint="eastAsia"/>
          <w:color w:val="000000"/>
          <w:kern w:val="0"/>
          <w:sz w:val="24"/>
          <w:szCs w:val="24"/>
        </w:rPr>
        <w:t>年。</w:t>
      </w:r>
    </w:p>
    <w:p w:rsidR="00AB2414" w:rsidRDefault="00AB2414" w:rsidP="001E0C9A">
      <w:pPr>
        <w:spacing w:line="48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color w:val="000000"/>
          <w:kern w:val="0"/>
          <w:sz w:val="24"/>
          <w:szCs w:val="24"/>
        </w:rPr>
        <w:t>8.</w:t>
      </w:r>
      <w:r w:rsidRPr="00FC1826">
        <w:rPr>
          <w:rFonts w:asciiTheme="minorEastAsia" w:hAnsiTheme="minorEastAsia" w:cs="仿宋_GB2312" w:hint="eastAsia"/>
          <w:color w:val="000000"/>
          <w:kern w:val="0"/>
          <w:sz w:val="24"/>
          <w:szCs w:val="24"/>
        </w:rPr>
        <w:t>开展专业认证及评估。在工程、医学等领域积极推进与国际标准实质等效的专业认证。要与行业共同制定认证标准，共同实施认证过程，体现行业需求，强化实践教学环节，并取得业界认可。鼓励专门机构和社会中介机构对高等学校进行专业评估。</w:t>
      </w:r>
    </w:p>
    <w:p w:rsidR="00AB2414" w:rsidRDefault="00AB2414" w:rsidP="001E0C9A">
      <w:pPr>
        <w:spacing w:line="48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color w:val="000000"/>
          <w:kern w:val="0"/>
          <w:sz w:val="24"/>
          <w:szCs w:val="24"/>
        </w:rPr>
        <w:t>9.</w:t>
      </w:r>
      <w:r w:rsidRPr="00FC1826">
        <w:rPr>
          <w:rFonts w:asciiTheme="minorEastAsia" w:hAnsiTheme="minorEastAsia" w:cs="仿宋_GB2312" w:hint="eastAsia"/>
          <w:color w:val="000000"/>
          <w:kern w:val="0"/>
          <w:sz w:val="24"/>
          <w:szCs w:val="24"/>
        </w:rPr>
        <w:t>探索国际评估。鼓励有条件的高等学校聘请相应学科专业领域的国际高水平专家学者开展本校学科专业的国际评估。探索与国际高水平教育评估机构合作，积极进行评估工作的国际交流，提高评估工作水平。</w:t>
      </w:r>
    </w:p>
    <w:p w:rsidR="00AB2414" w:rsidRPr="00AB2414" w:rsidRDefault="00AB2414" w:rsidP="001E0C9A">
      <w:pPr>
        <w:spacing w:line="480" w:lineRule="exact"/>
        <w:ind w:firstLineChars="200" w:firstLine="482"/>
        <w:rPr>
          <w:rFonts w:asciiTheme="minorEastAsia" w:hAnsiTheme="minorEastAsia" w:cs="仿宋_GB2312"/>
          <w:b/>
          <w:color w:val="000000"/>
          <w:kern w:val="0"/>
          <w:sz w:val="24"/>
          <w:szCs w:val="24"/>
        </w:rPr>
      </w:pPr>
      <w:r w:rsidRPr="00AB2414">
        <w:rPr>
          <w:rFonts w:asciiTheme="minorEastAsia" w:hAnsiTheme="minorEastAsia" w:cs="仿宋_GB2312" w:hint="eastAsia"/>
          <w:b/>
          <w:color w:val="000000"/>
          <w:kern w:val="0"/>
          <w:sz w:val="24"/>
          <w:szCs w:val="24"/>
        </w:rPr>
        <w:lastRenderedPageBreak/>
        <w:t>四、本科教学评估的组织管理</w:t>
      </w:r>
    </w:p>
    <w:p w:rsidR="00AB2414" w:rsidRDefault="00AB2414" w:rsidP="001E0C9A">
      <w:pPr>
        <w:spacing w:line="48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color w:val="000000"/>
          <w:kern w:val="0"/>
          <w:sz w:val="24"/>
          <w:szCs w:val="24"/>
        </w:rPr>
        <w:t>10.</w:t>
      </w:r>
      <w:r w:rsidRPr="00FC1826">
        <w:rPr>
          <w:rFonts w:asciiTheme="minorEastAsia" w:hAnsiTheme="minorEastAsia" w:cs="仿宋_GB2312" w:hint="eastAsia"/>
          <w:color w:val="000000"/>
          <w:kern w:val="0"/>
          <w:sz w:val="24"/>
          <w:szCs w:val="24"/>
        </w:rPr>
        <w:t>完善中央和省级政府两级分工明确、各负其责的本科教学评估工作制度。教育部制定评估工作方针政策、教学质量基本标准，统筹、指导和监督评估工作。省级教育行政部门依据国家有关规定和要求，结合本地区高等教育发展需要，制定本地区所属高等学校教学评估规划，组织实施本地区所属高等学校的审核评估工作，推动学校落实评估整改工作。</w:t>
      </w:r>
    </w:p>
    <w:p w:rsidR="00AB2414" w:rsidRDefault="00AB2414" w:rsidP="001E0C9A">
      <w:pPr>
        <w:spacing w:line="48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hint="eastAsia"/>
          <w:color w:val="000000"/>
          <w:kern w:val="0"/>
          <w:sz w:val="24"/>
          <w:szCs w:val="24"/>
        </w:rPr>
        <w:t>建立与“管办评分离”相适应的评估工作组织体系，充分发挥第三方评估的作用，由具备条件的教育评估机构实施相关评估工作。教育评估机构要加强自身专业化和规范化建设，加强评估专家队伍建设，严格评估过程组织，制定科学的评估方式方法。</w:t>
      </w:r>
    </w:p>
    <w:p w:rsidR="00AB2414" w:rsidRDefault="00AB2414" w:rsidP="001E0C9A">
      <w:pPr>
        <w:spacing w:line="48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color w:val="000000"/>
          <w:kern w:val="0"/>
          <w:sz w:val="24"/>
          <w:szCs w:val="24"/>
        </w:rPr>
        <w:t>11.</w:t>
      </w:r>
      <w:r w:rsidRPr="00FC1826">
        <w:rPr>
          <w:rFonts w:asciiTheme="minorEastAsia" w:hAnsiTheme="minorEastAsia" w:cs="仿宋_GB2312" w:hint="eastAsia"/>
          <w:color w:val="000000"/>
          <w:kern w:val="0"/>
          <w:sz w:val="24"/>
          <w:szCs w:val="24"/>
        </w:rPr>
        <w:t>教育部设立普通高等学校本科教学工作评估专家委员会，开展评估研究、政策咨询、指导检查、监督和仲裁等。</w:t>
      </w:r>
    </w:p>
    <w:p w:rsidR="00AB2414" w:rsidRDefault="00AB2414" w:rsidP="001E0C9A">
      <w:pPr>
        <w:spacing w:line="48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color w:val="000000"/>
          <w:kern w:val="0"/>
          <w:sz w:val="24"/>
          <w:szCs w:val="24"/>
        </w:rPr>
        <w:t>12.</w:t>
      </w:r>
      <w:r w:rsidRPr="00FC1826">
        <w:rPr>
          <w:rFonts w:asciiTheme="minorEastAsia" w:hAnsiTheme="minorEastAsia" w:cs="仿宋_GB2312" w:hint="eastAsia"/>
          <w:color w:val="000000"/>
          <w:kern w:val="0"/>
          <w:sz w:val="24"/>
          <w:szCs w:val="24"/>
        </w:rPr>
        <w:t>加强评估工作管理，切实推进“阳光评估”。评估机构、参评学校人员和评估专家要增强责任感、使命感，自觉遵守评估工作规则规程，规范评估行为。建立评估信息公告制度，评估政策、评估文件、评估方案、评估标准、评估程序以及学校自评报告、专家现场考察报告、评估结论等均在适当范围公开，广泛接受教师、学生和社会各界的监督。</w:t>
      </w:r>
    </w:p>
    <w:p w:rsidR="00AB2414" w:rsidRDefault="00AB2414" w:rsidP="001E0C9A">
      <w:pPr>
        <w:spacing w:line="480" w:lineRule="exact"/>
        <w:rPr>
          <w:rFonts w:asciiTheme="minorEastAsia" w:hAnsiTheme="minorEastAsia" w:cs="仿宋_GB2312"/>
          <w:color w:val="000000"/>
          <w:kern w:val="0"/>
          <w:sz w:val="24"/>
          <w:szCs w:val="24"/>
        </w:rPr>
      </w:pPr>
    </w:p>
    <w:p w:rsidR="00AB2414" w:rsidRDefault="00AB2414" w:rsidP="001E0C9A">
      <w:pPr>
        <w:spacing w:line="480" w:lineRule="exact"/>
        <w:rPr>
          <w:rFonts w:asciiTheme="minorEastAsia" w:hAnsiTheme="minorEastAsia" w:cs="仿宋_GB2312"/>
          <w:color w:val="000000"/>
          <w:kern w:val="0"/>
          <w:sz w:val="24"/>
          <w:szCs w:val="24"/>
        </w:rPr>
      </w:pPr>
    </w:p>
    <w:p w:rsidR="00AB2414" w:rsidRDefault="00AB2414" w:rsidP="001E0C9A">
      <w:pPr>
        <w:spacing w:line="480" w:lineRule="exact"/>
        <w:rPr>
          <w:rFonts w:asciiTheme="minorEastAsia" w:hAnsiTheme="minorEastAsia" w:cs="仿宋_GB2312"/>
          <w:color w:val="000000"/>
          <w:kern w:val="0"/>
          <w:sz w:val="24"/>
          <w:szCs w:val="24"/>
        </w:rPr>
      </w:pPr>
    </w:p>
    <w:p w:rsidR="00AB2414" w:rsidRDefault="00AB2414" w:rsidP="001E0C9A">
      <w:pPr>
        <w:spacing w:line="480" w:lineRule="exact"/>
        <w:rPr>
          <w:rFonts w:asciiTheme="minorEastAsia" w:hAnsiTheme="minorEastAsia" w:cs="仿宋_GB2312"/>
          <w:color w:val="000000"/>
          <w:kern w:val="0"/>
          <w:sz w:val="24"/>
          <w:szCs w:val="24"/>
        </w:rPr>
      </w:pPr>
    </w:p>
    <w:p w:rsidR="00AB2414" w:rsidRDefault="00AB2414" w:rsidP="001E0C9A">
      <w:pPr>
        <w:spacing w:line="480" w:lineRule="exact"/>
        <w:rPr>
          <w:rFonts w:asciiTheme="minorEastAsia" w:hAnsiTheme="minorEastAsia" w:cs="仿宋_GB2312"/>
          <w:color w:val="000000"/>
          <w:kern w:val="0"/>
          <w:sz w:val="24"/>
          <w:szCs w:val="24"/>
        </w:rPr>
      </w:pPr>
    </w:p>
    <w:p w:rsidR="00AB2414" w:rsidRDefault="00AB2414" w:rsidP="001E0C9A">
      <w:pPr>
        <w:spacing w:line="480" w:lineRule="exact"/>
        <w:rPr>
          <w:rFonts w:asciiTheme="minorEastAsia" w:hAnsiTheme="minorEastAsia" w:cs="仿宋_GB2312"/>
          <w:color w:val="000000"/>
          <w:kern w:val="0"/>
          <w:sz w:val="24"/>
          <w:szCs w:val="24"/>
        </w:rPr>
      </w:pPr>
    </w:p>
    <w:p w:rsidR="00AB2414" w:rsidRDefault="00AB2414" w:rsidP="001E0C9A">
      <w:pPr>
        <w:spacing w:line="480" w:lineRule="exact"/>
        <w:jc w:val="right"/>
        <w:rPr>
          <w:rFonts w:asciiTheme="minorEastAsia" w:hAnsiTheme="minorEastAsia" w:cs="仿宋_GB2312"/>
          <w:color w:val="000000"/>
          <w:kern w:val="0"/>
          <w:sz w:val="24"/>
          <w:szCs w:val="24"/>
        </w:rPr>
      </w:pPr>
      <w:r w:rsidRPr="00FC1826">
        <w:rPr>
          <w:rFonts w:asciiTheme="minorEastAsia" w:hAnsiTheme="minorEastAsia" w:cs="仿宋_GB2312" w:hint="eastAsia"/>
          <w:color w:val="000000"/>
          <w:kern w:val="0"/>
          <w:sz w:val="24"/>
          <w:szCs w:val="24"/>
        </w:rPr>
        <w:t>中华人民共和国教育部</w:t>
      </w:r>
    </w:p>
    <w:p w:rsidR="00AB2414" w:rsidRDefault="00AB2414" w:rsidP="001E0C9A">
      <w:pPr>
        <w:spacing w:line="480" w:lineRule="exact"/>
        <w:jc w:val="right"/>
        <w:rPr>
          <w:rFonts w:asciiTheme="minorEastAsia" w:hAnsiTheme="minorEastAsia" w:cs="仿宋_GB2312"/>
          <w:color w:val="000000"/>
          <w:kern w:val="0"/>
          <w:sz w:val="24"/>
          <w:szCs w:val="24"/>
        </w:rPr>
      </w:pPr>
      <w:r w:rsidRPr="00FC1826">
        <w:rPr>
          <w:rFonts w:asciiTheme="minorEastAsia" w:hAnsiTheme="minorEastAsia" w:cs="仿宋_GB2312" w:hint="eastAsia"/>
          <w:color w:val="000000"/>
          <w:kern w:val="0"/>
          <w:sz w:val="24"/>
          <w:szCs w:val="24"/>
        </w:rPr>
        <w:t>二</w:t>
      </w:r>
      <w:r w:rsidRPr="00FC1826">
        <w:rPr>
          <w:rFonts w:asciiTheme="minorEastAsia" w:hAnsiTheme="minorEastAsia" w:cs="宋体" w:hint="eastAsia"/>
          <w:color w:val="000000"/>
          <w:kern w:val="0"/>
          <w:sz w:val="24"/>
          <w:szCs w:val="24"/>
        </w:rPr>
        <w:t>〇</w:t>
      </w:r>
      <w:r w:rsidRPr="00FC1826">
        <w:rPr>
          <w:rFonts w:asciiTheme="minorEastAsia" w:hAnsiTheme="minorEastAsia" w:cs="仿宋_GB2312" w:hint="eastAsia"/>
          <w:color w:val="000000"/>
          <w:kern w:val="0"/>
          <w:sz w:val="24"/>
          <w:szCs w:val="24"/>
        </w:rPr>
        <w:t>一一年十月十三日</w:t>
      </w:r>
    </w:p>
    <w:p w:rsidR="00AB2414" w:rsidRPr="00AB2414" w:rsidRDefault="00AB2414" w:rsidP="00AB2414"/>
    <w:p w:rsidR="00AB2414" w:rsidRDefault="00AB2414" w:rsidP="00AB2414"/>
    <w:p w:rsidR="00AB2414" w:rsidRDefault="00AB2414" w:rsidP="00AB2414"/>
    <w:p w:rsidR="00AB2414" w:rsidRDefault="00AB2414" w:rsidP="00AB2414"/>
    <w:sectPr w:rsidR="00AB2414" w:rsidSect="004F5B6E">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440" w:left="113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2FD" w:rsidRDefault="00CA62FD" w:rsidP="00B02113">
      <w:r>
        <w:separator/>
      </w:r>
    </w:p>
  </w:endnote>
  <w:endnote w:type="continuationSeparator" w:id="0">
    <w:p w:rsidR="00CA62FD" w:rsidRDefault="00CA62FD" w:rsidP="00B0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92" w:rsidRDefault="00181D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669869"/>
      <w:docPartObj>
        <w:docPartGallery w:val="Page Numbers (Bottom of Page)"/>
        <w:docPartUnique/>
      </w:docPartObj>
    </w:sdtPr>
    <w:sdtEndPr/>
    <w:sdtContent>
      <w:p w:rsidR="00305B10" w:rsidRDefault="00F6297D">
        <w:pPr>
          <w:pStyle w:val="a4"/>
          <w:jc w:val="center"/>
        </w:pPr>
        <w:r>
          <w:fldChar w:fldCharType="begin"/>
        </w:r>
        <w:r w:rsidR="00305B10">
          <w:instrText>PAGE   \* MERGEFORMAT</w:instrText>
        </w:r>
        <w:r>
          <w:fldChar w:fldCharType="separate"/>
        </w:r>
        <w:r w:rsidR="00181D92" w:rsidRPr="00181D92">
          <w:rPr>
            <w:noProof/>
            <w:lang w:val="zh-CN"/>
          </w:rPr>
          <w:t>1</w:t>
        </w:r>
        <w:r>
          <w:fldChar w:fldCharType="end"/>
        </w:r>
      </w:p>
    </w:sdtContent>
  </w:sdt>
  <w:p w:rsidR="00305B10" w:rsidRDefault="00305B1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92" w:rsidRDefault="00181D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2FD" w:rsidRDefault="00CA62FD" w:rsidP="00B02113">
      <w:r>
        <w:separator/>
      </w:r>
    </w:p>
  </w:footnote>
  <w:footnote w:type="continuationSeparator" w:id="0">
    <w:p w:rsidR="00CA62FD" w:rsidRDefault="00CA62FD" w:rsidP="00B02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92" w:rsidRDefault="00181D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B10" w:rsidRDefault="00305B10" w:rsidP="00181D92">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92" w:rsidRDefault="00181D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799"/>
    <w:multiLevelType w:val="hybridMultilevel"/>
    <w:tmpl w:val="3866FDEE"/>
    <w:lvl w:ilvl="0" w:tplc="34227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B110EE"/>
    <w:multiLevelType w:val="hybridMultilevel"/>
    <w:tmpl w:val="84FE6248"/>
    <w:lvl w:ilvl="0" w:tplc="58262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020124"/>
    <w:multiLevelType w:val="hybridMultilevel"/>
    <w:tmpl w:val="F3B06C30"/>
    <w:lvl w:ilvl="0" w:tplc="5ED47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957861"/>
    <w:multiLevelType w:val="hybridMultilevel"/>
    <w:tmpl w:val="FF3436C6"/>
    <w:lvl w:ilvl="0" w:tplc="B63A6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7D6ACD"/>
    <w:multiLevelType w:val="hybridMultilevel"/>
    <w:tmpl w:val="D6F4E744"/>
    <w:lvl w:ilvl="0" w:tplc="CF0205E0">
      <w:start w:val="1"/>
      <w:numFmt w:val="decimal"/>
      <w:lvlText w:val="%1."/>
      <w:lvlJc w:val="left"/>
      <w:pPr>
        <w:ind w:left="360" w:hanging="360"/>
      </w:pPr>
      <w:rPr>
        <w:rFonts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490C2B"/>
    <w:multiLevelType w:val="hybridMultilevel"/>
    <w:tmpl w:val="8A7E9B30"/>
    <w:lvl w:ilvl="0" w:tplc="4CC24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710F19"/>
    <w:multiLevelType w:val="hybridMultilevel"/>
    <w:tmpl w:val="F5D6B32A"/>
    <w:lvl w:ilvl="0" w:tplc="DE948F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1E17FB"/>
    <w:multiLevelType w:val="hybridMultilevel"/>
    <w:tmpl w:val="08D2B7AC"/>
    <w:lvl w:ilvl="0" w:tplc="C87A7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480719"/>
    <w:multiLevelType w:val="hybridMultilevel"/>
    <w:tmpl w:val="3CA4C90A"/>
    <w:lvl w:ilvl="0" w:tplc="A99C36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525BC7"/>
    <w:multiLevelType w:val="hybridMultilevel"/>
    <w:tmpl w:val="FBEC4FF2"/>
    <w:lvl w:ilvl="0" w:tplc="FFFFFFFF">
      <w:start w:val="2"/>
      <w:numFmt w:val="bullet"/>
      <w:lvlText w:val="●"/>
      <w:lvlJc w:val="left"/>
      <w:pPr>
        <w:tabs>
          <w:tab w:val="num" w:pos="360"/>
        </w:tabs>
        <w:ind w:left="360" w:hanging="360"/>
      </w:pPr>
      <w:rPr>
        <w:rFonts w:ascii="黑体" w:eastAsia="黑体" w:hAnsi="黑体"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
    <w:nsid w:val="70C63D77"/>
    <w:multiLevelType w:val="hybridMultilevel"/>
    <w:tmpl w:val="B34E4B32"/>
    <w:lvl w:ilvl="0" w:tplc="6E7034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21300C4"/>
    <w:multiLevelType w:val="hybridMultilevel"/>
    <w:tmpl w:val="D37E1BA8"/>
    <w:lvl w:ilvl="0" w:tplc="A6EC5B88">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9B73AA1"/>
    <w:multiLevelType w:val="hybridMultilevel"/>
    <w:tmpl w:val="BA724DDC"/>
    <w:lvl w:ilvl="0" w:tplc="4BD23752">
      <w:start w:val="2"/>
      <w:numFmt w:val="decimalEnclosedFullstop"/>
      <w:lvlText w:val="%1"/>
      <w:lvlJc w:val="left"/>
      <w:pPr>
        <w:ind w:left="770" w:hanging="360"/>
      </w:pPr>
      <w:rPr>
        <w:rFonts w:ascii="宋体" w:hAnsi="宋体" w:hint="default"/>
      </w:rPr>
    </w:lvl>
    <w:lvl w:ilvl="1" w:tplc="04090019" w:tentative="1">
      <w:start w:val="1"/>
      <w:numFmt w:val="lowerLetter"/>
      <w:lvlText w:val="%2)"/>
      <w:lvlJc w:val="left"/>
      <w:pPr>
        <w:ind w:left="1250" w:hanging="420"/>
      </w:pPr>
    </w:lvl>
    <w:lvl w:ilvl="2" w:tplc="0409001B" w:tentative="1">
      <w:start w:val="1"/>
      <w:numFmt w:val="lowerRoman"/>
      <w:lvlText w:val="%3."/>
      <w:lvlJc w:val="right"/>
      <w:pPr>
        <w:ind w:left="1670" w:hanging="420"/>
      </w:pPr>
    </w:lvl>
    <w:lvl w:ilvl="3" w:tplc="0409000F" w:tentative="1">
      <w:start w:val="1"/>
      <w:numFmt w:val="decimal"/>
      <w:lvlText w:val="%4."/>
      <w:lvlJc w:val="left"/>
      <w:pPr>
        <w:ind w:left="2090" w:hanging="420"/>
      </w:pPr>
    </w:lvl>
    <w:lvl w:ilvl="4" w:tplc="04090019" w:tentative="1">
      <w:start w:val="1"/>
      <w:numFmt w:val="lowerLetter"/>
      <w:lvlText w:val="%5)"/>
      <w:lvlJc w:val="left"/>
      <w:pPr>
        <w:ind w:left="2510" w:hanging="420"/>
      </w:pPr>
    </w:lvl>
    <w:lvl w:ilvl="5" w:tplc="0409001B" w:tentative="1">
      <w:start w:val="1"/>
      <w:numFmt w:val="lowerRoman"/>
      <w:lvlText w:val="%6."/>
      <w:lvlJc w:val="right"/>
      <w:pPr>
        <w:ind w:left="2930" w:hanging="420"/>
      </w:pPr>
    </w:lvl>
    <w:lvl w:ilvl="6" w:tplc="0409000F" w:tentative="1">
      <w:start w:val="1"/>
      <w:numFmt w:val="decimal"/>
      <w:lvlText w:val="%7."/>
      <w:lvlJc w:val="left"/>
      <w:pPr>
        <w:ind w:left="3350" w:hanging="420"/>
      </w:pPr>
    </w:lvl>
    <w:lvl w:ilvl="7" w:tplc="04090019" w:tentative="1">
      <w:start w:val="1"/>
      <w:numFmt w:val="lowerLetter"/>
      <w:lvlText w:val="%8)"/>
      <w:lvlJc w:val="left"/>
      <w:pPr>
        <w:ind w:left="3770" w:hanging="420"/>
      </w:pPr>
    </w:lvl>
    <w:lvl w:ilvl="8" w:tplc="0409001B" w:tentative="1">
      <w:start w:val="1"/>
      <w:numFmt w:val="lowerRoman"/>
      <w:lvlText w:val="%9."/>
      <w:lvlJc w:val="right"/>
      <w:pPr>
        <w:ind w:left="4190" w:hanging="420"/>
      </w:pPr>
    </w:lvl>
  </w:abstractNum>
  <w:num w:numId="1">
    <w:abstractNumId w:val="5"/>
  </w:num>
  <w:num w:numId="2">
    <w:abstractNumId w:val="4"/>
  </w:num>
  <w:num w:numId="3">
    <w:abstractNumId w:val="9"/>
  </w:num>
  <w:num w:numId="4">
    <w:abstractNumId w:val="6"/>
  </w:num>
  <w:num w:numId="5">
    <w:abstractNumId w:val="11"/>
  </w:num>
  <w:num w:numId="6">
    <w:abstractNumId w:val="7"/>
  </w:num>
  <w:num w:numId="7">
    <w:abstractNumId w:val="8"/>
  </w:num>
  <w:num w:numId="8">
    <w:abstractNumId w:val="0"/>
  </w:num>
  <w:num w:numId="9">
    <w:abstractNumId w:val="3"/>
  </w:num>
  <w:num w:numId="10">
    <w:abstractNumId w:val="2"/>
  </w:num>
  <w:num w:numId="11">
    <w:abstractNumId w:val="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2113"/>
    <w:rsid w:val="00015566"/>
    <w:rsid w:val="0003163B"/>
    <w:rsid w:val="00040971"/>
    <w:rsid w:val="00042C18"/>
    <w:rsid w:val="000B06D1"/>
    <w:rsid w:val="00101F96"/>
    <w:rsid w:val="0010414F"/>
    <w:rsid w:val="00145F01"/>
    <w:rsid w:val="00181D92"/>
    <w:rsid w:val="0018339A"/>
    <w:rsid w:val="001B3638"/>
    <w:rsid w:val="001D4B85"/>
    <w:rsid w:val="001E0C9A"/>
    <w:rsid w:val="001F4369"/>
    <w:rsid w:val="002200CF"/>
    <w:rsid w:val="00242BEF"/>
    <w:rsid w:val="00254C60"/>
    <w:rsid w:val="00260DEC"/>
    <w:rsid w:val="00277A0A"/>
    <w:rsid w:val="00295040"/>
    <w:rsid w:val="002A17E7"/>
    <w:rsid w:val="002E283E"/>
    <w:rsid w:val="002F6E3F"/>
    <w:rsid w:val="00305B10"/>
    <w:rsid w:val="00330C64"/>
    <w:rsid w:val="003823C1"/>
    <w:rsid w:val="00383D0F"/>
    <w:rsid w:val="0040579F"/>
    <w:rsid w:val="00426A8C"/>
    <w:rsid w:val="00432A01"/>
    <w:rsid w:val="00473EB2"/>
    <w:rsid w:val="004822B7"/>
    <w:rsid w:val="004974E5"/>
    <w:rsid w:val="004A5D92"/>
    <w:rsid w:val="004B004D"/>
    <w:rsid w:val="004F5B6E"/>
    <w:rsid w:val="00503CB9"/>
    <w:rsid w:val="00504907"/>
    <w:rsid w:val="0052684E"/>
    <w:rsid w:val="00527592"/>
    <w:rsid w:val="00563DC7"/>
    <w:rsid w:val="0059628B"/>
    <w:rsid w:val="005C67A4"/>
    <w:rsid w:val="006077C8"/>
    <w:rsid w:val="0061225A"/>
    <w:rsid w:val="00642311"/>
    <w:rsid w:val="00645AE1"/>
    <w:rsid w:val="00654C30"/>
    <w:rsid w:val="00656BD3"/>
    <w:rsid w:val="00663F4C"/>
    <w:rsid w:val="00676AB6"/>
    <w:rsid w:val="006A62C1"/>
    <w:rsid w:val="006D716D"/>
    <w:rsid w:val="00725CA2"/>
    <w:rsid w:val="00731D21"/>
    <w:rsid w:val="00733B0E"/>
    <w:rsid w:val="00771376"/>
    <w:rsid w:val="007734CC"/>
    <w:rsid w:val="0077606E"/>
    <w:rsid w:val="007861C7"/>
    <w:rsid w:val="007A0F19"/>
    <w:rsid w:val="007B1D85"/>
    <w:rsid w:val="007B2816"/>
    <w:rsid w:val="007C0514"/>
    <w:rsid w:val="007C184F"/>
    <w:rsid w:val="007D6708"/>
    <w:rsid w:val="007F640F"/>
    <w:rsid w:val="008139E8"/>
    <w:rsid w:val="008445FB"/>
    <w:rsid w:val="0089128A"/>
    <w:rsid w:val="008A37E8"/>
    <w:rsid w:val="008A5F3C"/>
    <w:rsid w:val="008F2127"/>
    <w:rsid w:val="009167CF"/>
    <w:rsid w:val="0092012C"/>
    <w:rsid w:val="009279AE"/>
    <w:rsid w:val="00960299"/>
    <w:rsid w:val="0097310C"/>
    <w:rsid w:val="00974227"/>
    <w:rsid w:val="009A109A"/>
    <w:rsid w:val="009A6263"/>
    <w:rsid w:val="009D7D79"/>
    <w:rsid w:val="00A12469"/>
    <w:rsid w:val="00A14B7A"/>
    <w:rsid w:val="00A15E68"/>
    <w:rsid w:val="00A6120E"/>
    <w:rsid w:val="00A705CB"/>
    <w:rsid w:val="00A92821"/>
    <w:rsid w:val="00AB1DC9"/>
    <w:rsid w:val="00AB2414"/>
    <w:rsid w:val="00AB7BAE"/>
    <w:rsid w:val="00AE5947"/>
    <w:rsid w:val="00B02113"/>
    <w:rsid w:val="00B032A2"/>
    <w:rsid w:val="00B110DD"/>
    <w:rsid w:val="00B13985"/>
    <w:rsid w:val="00B41C86"/>
    <w:rsid w:val="00B42B56"/>
    <w:rsid w:val="00B45965"/>
    <w:rsid w:val="00B64AEC"/>
    <w:rsid w:val="00B7694E"/>
    <w:rsid w:val="00B773A6"/>
    <w:rsid w:val="00B77969"/>
    <w:rsid w:val="00BC363B"/>
    <w:rsid w:val="00C015DB"/>
    <w:rsid w:val="00C26F9C"/>
    <w:rsid w:val="00C51EB1"/>
    <w:rsid w:val="00C60091"/>
    <w:rsid w:val="00C60E95"/>
    <w:rsid w:val="00C94B82"/>
    <w:rsid w:val="00CA3F5D"/>
    <w:rsid w:val="00CA62FD"/>
    <w:rsid w:val="00CB6270"/>
    <w:rsid w:val="00CE74CB"/>
    <w:rsid w:val="00D6489C"/>
    <w:rsid w:val="00D77EF9"/>
    <w:rsid w:val="00D80469"/>
    <w:rsid w:val="00D86C3E"/>
    <w:rsid w:val="00DC55B6"/>
    <w:rsid w:val="00DF0463"/>
    <w:rsid w:val="00DF60D0"/>
    <w:rsid w:val="00E01756"/>
    <w:rsid w:val="00E017CC"/>
    <w:rsid w:val="00E75FCB"/>
    <w:rsid w:val="00E80742"/>
    <w:rsid w:val="00E86FCF"/>
    <w:rsid w:val="00E940D4"/>
    <w:rsid w:val="00E9458A"/>
    <w:rsid w:val="00EA1B19"/>
    <w:rsid w:val="00EB17AA"/>
    <w:rsid w:val="00EF01E1"/>
    <w:rsid w:val="00F02CC5"/>
    <w:rsid w:val="00F05FBF"/>
    <w:rsid w:val="00F6297D"/>
    <w:rsid w:val="00F778B8"/>
    <w:rsid w:val="00F80C8B"/>
    <w:rsid w:val="00F83A84"/>
    <w:rsid w:val="00FC1826"/>
    <w:rsid w:val="00FC2741"/>
    <w:rsid w:val="00FD1D18"/>
    <w:rsid w:val="00FE0449"/>
    <w:rsid w:val="00FE4F24"/>
    <w:rsid w:val="00F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A8C"/>
    <w:pPr>
      <w:widowControl w:val="0"/>
      <w:jc w:val="both"/>
    </w:pPr>
  </w:style>
  <w:style w:type="paragraph" w:styleId="1">
    <w:name w:val="heading 1"/>
    <w:basedOn w:val="a"/>
    <w:next w:val="a"/>
    <w:link w:val="1Char"/>
    <w:qFormat/>
    <w:rsid w:val="00E0175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CE74CB"/>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autoRedefine/>
    <w:qFormat/>
    <w:rsid w:val="00CE74CB"/>
    <w:pPr>
      <w:keepNext/>
      <w:keepLines/>
      <w:spacing w:before="260" w:after="120"/>
      <w:jc w:val="center"/>
      <w:outlineLvl w:val="2"/>
    </w:pPr>
    <w:rPr>
      <w:rFonts w:ascii="Times New Roman" w:eastAsia="仿宋_GB2312"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01756"/>
    <w:rPr>
      <w:rFonts w:ascii="Times New Roman" w:eastAsia="宋体" w:hAnsi="Times New Roman" w:cs="Times New Roman"/>
      <w:b/>
      <w:bCs/>
      <w:kern w:val="44"/>
      <w:sz w:val="44"/>
      <w:szCs w:val="44"/>
    </w:rPr>
  </w:style>
  <w:style w:type="character" w:customStyle="1" w:styleId="2Char">
    <w:name w:val="标题 2 Char"/>
    <w:basedOn w:val="a0"/>
    <w:link w:val="2"/>
    <w:rsid w:val="00CE74CB"/>
    <w:rPr>
      <w:rFonts w:ascii="Arial" w:eastAsia="黑体" w:hAnsi="Arial" w:cs="Times New Roman"/>
      <w:b/>
      <w:bCs/>
      <w:sz w:val="32"/>
      <w:szCs w:val="32"/>
    </w:rPr>
  </w:style>
  <w:style w:type="character" w:customStyle="1" w:styleId="3Char">
    <w:name w:val="标题 3 Char"/>
    <w:basedOn w:val="a0"/>
    <w:link w:val="3"/>
    <w:rsid w:val="00CE74CB"/>
    <w:rPr>
      <w:rFonts w:ascii="Times New Roman" w:eastAsia="仿宋_GB2312" w:hAnsi="Times New Roman" w:cs="Times New Roman"/>
      <w:b/>
      <w:bCs/>
      <w:sz w:val="28"/>
      <w:szCs w:val="28"/>
    </w:rPr>
  </w:style>
  <w:style w:type="paragraph" w:styleId="a3">
    <w:name w:val="header"/>
    <w:basedOn w:val="a"/>
    <w:link w:val="Char"/>
    <w:uiPriority w:val="99"/>
    <w:unhideWhenUsed/>
    <w:rsid w:val="00B021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2113"/>
    <w:rPr>
      <w:sz w:val="18"/>
      <w:szCs w:val="18"/>
    </w:rPr>
  </w:style>
  <w:style w:type="paragraph" w:styleId="a4">
    <w:name w:val="footer"/>
    <w:basedOn w:val="a"/>
    <w:link w:val="Char0"/>
    <w:uiPriority w:val="99"/>
    <w:unhideWhenUsed/>
    <w:rsid w:val="00B02113"/>
    <w:pPr>
      <w:tabs>
        <w:tab w:val="center" w:pos="4153"/>
        <w:tab w:val="right" w:pos="8306"/>
      </w:tabs>
      <w:snapToGrid w:val="0"/>
      <w:jc w:val="left"/>
    </w:pPr>
    <w:rPr>
      <w:sz w:val="18"/>
      <w:szCs w:val="18"/>
    </w:rPr>
  </w:style>
  <w:style w:type="character" w:customStyle="1" w:styleId="Char0">
    <w:name w:val="页脚 Char"/>
    <w:basedOn w:val="a0"/>
    <w:link w:val="a4"/>
    <w:uiPriority w:val="99"/>
    <w:rsid w:val="00B02113"/>
    <w:rPr>
      <w:sz w:val="18"/>
      <w:szCs w:val="18"/>
    </w:rPr>
  </w:style>
  <w:style w:type="paragraph" w:styleId="a5">
    <w:name w:val="List Paragraph"/>
    <w:basedOn w:val="a"/>
    <w:uiPriority w:val="34"/>
    <w:qFormat/>
    <w:rsid w:val="004A5D92"/>
    <w:pPr>
      <w:ind w:firstLineChars="200" w:firstLine="420"/>
    </w:pPr>
  </w:style>
  <w:style w:type="paragraph" w:styleId="a6">
    <w:name w:val="Date"/>
    <w:basedOn w:val="a"/>
    <w:next w:val="a"/>
    <w:link w:val="Char1"/>
    <w:uiPriority w:val="99"/>
    <w:semiHidden/>
    <w:unhideWhenUsed/>
    <w:rsid w:val="007734CC"/>
    <w:pPr>
      <w:ind w:leftChars="2500" w:left="100"/>
    </w:pPr>
  </w:style>
  <w:style w:type="character" w:customStyle="1" w:styleId="Char1">
    <w:name w:val="日期 Char"/>
    <w:basedOn w:val="a0"/>
    <w:link w:val="a6"/>
    <w:uiPriority w:val="99"/>
    <w:semiHidden/>
    <w:rsid w:val="007734CC"/>
  </w:style>
  <w:style w:type="table" w:styleId="a7">
    <w:name w:val="Table Grid"/>
    <w:basedOn w:val="a1"/>
    <w:uiPriority w:val="59"/>
    <w:rsid w:val="00CE7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纯文本 Char"/>
    <w:basedOn w:val="a0"/>
    <w:link w:val="a8"/>
    <w:semiHidden/>
    <w:rsid w:val="00CE74CB"/>
    <w:rPr>
      <w:rFonts w:ascii="宋体" w:eastAsia="宋体" w:hAnsi="Courier New" w:cs="Times New Roman"/>
      <w:szCs w:val="20"/>
    </w:rPr>
  </w:style>
  <w:style w:type="paragraph" w:styleId="a8">
    <w:name w:val="Plain Text"/>
    <w:basedOn w:val="a"/>
    <w:link w:val="Char2"/>
    <w:semiHidden/>
    <w:rsid w:val="00CE74CB"/>
    <w:rPr>
      <w:rFonts w:ascii="宋体" w:eastAsia="宋体" w:hAnsi="Courier New" w:cs="Times New Roman"/>
      <w:szCs w:val="20"/>
    </w:rPr>
  </w:style>
  <w:style w:type="paragraph" w:styleId="a9">
    <w:name w:val="Body Text"/>
    <w:basedOn w:val="a"/>
    <w:link w:val="Char3"/>
    <w:semiHidden/>
    <w:rsid w:val="00CE74CB"/>
    <w:rPr>
      <w:rFonts w:ascii="宋体" w:eastAsia="宋体" w:hAnsi="宋体" w:cs="Times New Roman"/>
      <w:sz w:val="18"/>
      <w:szCs w:val="20"/>
    </w:rPr>
  </w:style>
  <w:style w:type="character" w:customStyle="1" w:styleId="Char3">
    <w:name w:val="正文文本 Char"/>
    <w:basedOn w:val="a0"/>
    <w:link w:val="a9"/>
    <w:semiHidden/>
    <w:rsid w:val="00CE74CB"/>
    <w:rPr>
      <w:rFonts w:ascii="宋体" w:eastAsia="宋体" w:hAnsi="宋体" w:cs="Times New Roman"/>
      <w:sz w:val="18"/>
      <w:szCs w:val="20"/>
    </w:rPr>
  </w:style>
  <w:style w:type="paragraph" w:styleId="aa">
    <w:name w:val="Normal (Web)"/>
    <w:basedOn w:val="a"/>
    <w:rsid w:val="00CE74CB"/>
    <w:pPr>
      <w:widowControl/>
      <w:spacing w:before="100" w:beforeAutospacing="1" w:after="100" w:afterAutospacing="1" w:line="360" w:lineRule="auto"/>
      <w:jc w:val="left"/>
    </w:pPr>
    <w:rPr>
      <w:rFonts w:ascii="宋体" w:eastAsia="宋体" w:hAnsi="宋体" w:cs="宋体"/>
      <w:kern w:val="0"/>
      <w:sz w:val="24"/>
      <w:szCs w:val="24"/>
    </w:rPr>
  </w:style>
  <w:style w:type="paragraph" w:styleId="TOC">
    <w:name w:val="TOC Heading"/>
    <w:basedOn w:val="1"/>
    <w:next w:val="a"/>
    <w:uiPriority w:val="39"/>
    <w:semiHidden/>
    <w:unhideWhenUsed/>
    <w:qFormat/>
    <w:rsid w:val="00D77EF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D77EF9"/>
  </w:style>
  <w:style w:type="paragraph" w:styleId="ab">
    <w:name w:val="Balloon Text"/>
    <w:basedOn w:val="a"/>
    <w:link w:val="Char4"/>
    <w:uiPriority w:val="99"/>
    <w:semiHidden/>
    <w:unhideWhenUsed/>
    <w:rsid w:val="00D77EF9"/>
    <w:rPr>
      <w:sz w:val="18"/>
      <w:szCs w:val="18"/>
    </w:rPr>
  </w:style>
  <w:style w:type="character" w:customStyle="1" w:styleId="Char4">
    <w:name w:val="批注框文本 Char"/>
    <w:basedOn w:val="a0"/>
    <w:link w:val="ab"/>
    <w:uiPriority w:val="99"/>
    <w:semiHidden/>
    <w:rsid w:val="00D77EF9"/>
    <w:rPr>
      <w:sz w:val="18"/>
      <w:szCs w:val="18"/>
    </w:rPr>
  </w:style>
  <w:style w:type="character" w:styleId="ac">
    <w:name w:val="Hyperlink"/>
    <w:basedOn w:val="a0"/>
    <w:uiPriority w:val="99"/>
    <w:unhideWhenUsed/>
    <w:rsid w:val="00D77E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F481A-1357-479F-AE71-61E4E303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古月晓明</dc:creator>
  <cp:lastModifiedBy>Windows 用户</cp:lastModifiedBy>
  <cp:revision>8</cp:revision>
  <dcterms:created xsi:type="dcterms:W3CDTF">2017-12-10T05:01:00Z</dcterms:created>
  <dcterms:modified xsi:type="dcterms:W3CDTF">2018-03-08T02:26:00Z</dcterms:modified>
</cp:coreProperties>
</file>